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B33" w:rsidRDefault="00A15B33" w:rsidP="00A15B33">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15B33" w:rsidTr="005439BF">
        <w:trPr>
          <w:jc w:val="center"/>
        </w:trPr>
        <w:tc>
          <w:tcPr>
            <w:tcW w:w="743" w:type="dxa"/>
          </w:tcPr>
          <w:p w:rsidR="00A15B33" w:rsidRDefault="00A15B33" w:rsidP="005439BF">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A15B33" w:rsidRDefault="00A15B33" w:rsidP="005439BF">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אביגיל יהלומי</w:t>
                </w:r>
              </w:sdtContent>
            </w:sdt>
          </w:p>
          <w:p w:rsidR="00A15B33" w:rsidRDefault="00A15B33" w:rsidP="005439BF">
            <w:pPr>
              <w:rPr>
                <w:rFonts w:ascii="Arial" w:hAnsi="Arial" w:cs="FrankRuehl"/>
                <w:sz w:val="28"/>
                <w:szCs w:val="28"/>
                <w:highlight w:val="yellow"/>
              </w:rPr>
            </w:pPr>
          </w:p>
        </w:tc>
      </w:tr>
      <w:tr w:rsidR="00A15B33" w:rsidTr="005439BF">
        <w:trPr>
          <w:jc w:val="center"/>
        </w:trPr>
        <w:tc>
          <w:tcPr>
            <w:tcW w:w="3249" w:type="dxa"/>
            <w:gridSpan w:val="2"/>
          </w:tcPr>
          <w:p w:rsidR="00A15B33" w:rsidRDefault="00A15B33" w:rsidP="005439BF">
            <w:pPr>
              <w:bidi w:val="0"/>
              <w:jc w:val="right"/>
              <w:rPr>
                <w:rFonts w:ascii="Arial" w:hAnsi="Arial"/>
                <w:b/>
                <w:bCs/>
                <w:noProof w:val="0"/>
                <w:sz w:val="26"/>
                <w:szCs w:val="26"/>
              </w:rPr>
            </w:pPr>
          </w:p>
          <w:sdt>
            <w:sdtPr>
              <w:alias w:val="1180"/>
              <w:tag w:val="1180"/>
              <w:id w:val="-1016538661"/>
              <w:text w:multiLine="1"/>
            </w:sdtPr>
            <w:sdtEndPr/>
            <w:sdtContent>
              <w:p w:rsidR="00A15B33" w:rsidRDefault="00A15B33" w:rsidP="005439BF">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A15B33" w:rsidRDefault="00A15B33" w:rsidP="005439BF">
            <w:pPr>
              <w:rPr>
                <w:rFonts w:ascii="Arial" w:hAnsi="Arial"/>
                <w:b/>
                <w:bCs/>
                <w:noProof w:val="0"/>
                <w:sz w:val="26"/>
                <w:szCs w:val="26"/>
              </w:rPr>
            </w:pPr>
          </w:p>
          <w:p w:rsidR="00A15B33" w:rsidRDefault="00341660" w:rsidP="00A15B33">
            <w:pPr>
              <w:rPr>
                <w:b/>
                <w:bCs/>
                <w:noProof w:val="0"/>
                <w:sz w:val="26"/>
                <w:szCs w:val="26"/>
                <w:rtl/>
              </w:rPr>
            </w:pPr>
            <w:sdt>
              <w:sdtPr>
                <w:rPr>
                  <w:rtl/>
                </w:rPr>
                <w:alias w:val="1462"/>
                <w:tag w:val="1462"/>
                <w:id w:val="557062456"/>
                <w:showingPlcHdr/>
                <w:text w:multiLine="1"/>
              </w:sdtPr>
              <w:sdtEndPr/>
              <w:sdtContent>
                <w:r w:rsidR="00A15B33">
                  <w:rPr>
                    <w:rtl/>
                  </w:rPr>
                  <w:t xml:space="preserve">     </w:t>
                </w:r>
              </w:sdtContent>
            </w:sdt>
            <w:r w:rsidR="00A15B33">
              <w:rPr>
                <w:b/>
                <w:bCs/>
                <w:noProof w:val="0"/>
                <w:sz w:val="26"/>
                <w:szCs w:val="26"/>
                <w:rtl/>
              </w:rPr>
              <w:t xml:space="preserve"> </w:t>
            </w:r>
            <w:r w:rsidR="00A15B33">
              <w:rPr>
                <w:rFonts w:ascii="Arial" w:hAnsi="Arial" w:hint="cs"/>
                <w:b/>
                <w:bCs/>
                <w:noProof w:val="0"/>
                <w:sz w:val="26"/>
                <w:szCs w:val="26"/>
                <w:rtl/>
              </w:rPr>
              <w:t>פלונית</w:t>
            </w:r>
          </w:p>
          <w:p w:rsidR="00A15B33" w:rsidRDefault="00A15B33" w:rsidP="00A15B33">
            <w:pPr>
              <w:rPr>
                <w:b/>
                <w:bCs/>
                <w:noProof w:val="0"/>
                <w:sz w:val="26"/>
                <w:szCs w:val="26"/>
              </w:rPr>
            </w:pPr>
            <w:r>
              <w:rPr>
                <w:rFonts w:hint="cs"/>
                <w:b/>
                <w:bCs/>
                <w:noProof w:val="0"/>
                <w:sz w:val="26"/>
                <w:szCs w:val="26"/>
                <w:rtl/>
              </w:rPr>
              <w:t>ע"י ב"כ עוה"ד מג'די זייד</w:t>
            </w:r>
          </w:p>
        </w:tc>
      </w:tr>
      <w:tr w:rsidR="00A15B33" w:rsidTr="005439BF">
        <w:trPr>
          <w:jc w:val="center"/>
        </w:trPr>
        <w:tc>
          <w:tcPr>
            <w:tcW w:w="8820" w:type="dxa"/>
            <w:gridSpan w:val="3"/>
          </w:tcPr>
          <w:p w:rsidR="00A15B33" w:rsidRDefault="00A15B33" w:rsidP="005439BF">
            <w:pPr>
              <w:rPr>
                <w:rFonts w:ascii="Arial" w:hAnsi="Arial"/>
                <w:b/>
                <w:bCs/>
                <w:noProof w:val="0"/>
                <w:sz w:val="26"/>
                <w:szCs w:val="26"/>
                <w:rtl/>
              </w:rPr>
            </w:pPr>
          </w:p>
          <w:p w:rsidR="00A15B33" w:rsidRDefault="00A15B33" w:rsidP="005439BF">
            <w:pPr>
              <w:jc w:val="center"/>
              <w:rPr>
                <w:rFonts w:ascii="Arial" w:hAnsi="Arial"/>
                <w:b/>
                <w:bCs/>
                <w:noProof w:val="0"/>
                <w:sz w:val="26"/>
                <w:szCs w:val="26"/>
                <w:rtl/>
              </w:rPr>
            </w:pPr>
            <w:r>
              <w:rPr>
                <w:rFonts w:ascii="Arial" w:hAnsi="Arial"/>
                <w:b/>
                <w:bCs/>
                <w:noProof w:val="0"/>
                <w:sz w:val="26"/>
                <w:szCs w:val="26"/>
                <w:rtl/>
              </w:rPr>
              <w:t>נגד</w:t>
            </w:r>
          </w:p>
          <w:p w:rsidR="00A15B33" w:rsidRDefault="00A15B33" w:rsidP="005439BF">
            <w:pPr>
              <w:rPr>
                <w:rFonts w:ascii="Arial" w:hAnsi="Arial"/>
                <w:b/>
                <w:bCs/>
                <w:noProof w:val="0"/>
                <w:sz w:val="26"/>
                <w:szCs w:val="26"/>
              </w:rPr>
            </w:pPr>
          </w:p>
        </w:tc>
      </w:tr>
      <w:tr w:rsidR="00A15B33" w:rsidTr="005439BF">
        <w:trPr>
          <w:jc w:val="center"/>
        </w:trPr>
        <w:tc>
          <w:tcPr>
            <w:tcW w:w="3249" w:type="dxa"/>
            <w:gridSpan w:val="2"/>
          </w:tcPr>
          <w:p w:rsidR="00A15B33" w:rsidRDefault="00A15B33" w:rsidP="005439BF">
            <w:pPr>
              <w:rPr>
                <w:rFonts w:ascii="Arial" w:hAnsi="Arial"/>
                <w:b/>
                <w:bCs/>
                <w:noProof w:val="0"/>
                <w:sz w:val="26"/>
                <w:szCs w:val="26"/>
                <w:rtl/>
              </w:rPr>
            </w:pPr>
          </w:p>
          <w:p w:rsidR="00A15B33" w:rsidRDefault="00341660" w:rsidP="005439BF">
            <w:pPr>
              <w:rPr>
                <w:rFonts w:ascii="Arial" w:hAnsi="Arial"/>
                <w:b/>
                <w:bCs/>
                <w:noProof w:val="0"/>
                <w:sz w:val="26"/>
                <w:szCs w:val="26"/>
              </w:rPr>
            </w:pPr>
            <w:sdt>
              <w:sdtPr>
                <w:rPr>
                  <w:rtl/>
                </w:rPr>
                <w:alias w:val="1184"/>
                <w:tag w:val="1184"/>
                <w:id w:val="-35981914"/>
                <w:text w:multiLine="1"/>
              </w:sdtPr>
              <w:sdtEndPr/>
              <w:sdtContent>
                <w:r w:rsidR="00A15B33">
                  <w:rPr>
                    <w:rFonts w:ascii="Arial" w:hAnsi="Arial"/>
                    <w:b/>
                    <w:bCs/>
                    <w:noProof w:val="0"/>
                    <w:sz w:val="26"/>
                    <w:szCs w:val="26"/>
                    <w:rtl/>
                  </w:rPr>
                  <w:t>נתבע</w:t>
                </w:r>
              </w:sdtContent>
            </w:sdt>
          </w:p>
        </w:tc>
        <w:tc>
          <w:tcPr>
            <w:tcW w:w="5571" w:type="dxa"/>
          </w:tcPr>
          <w:p w:rsidR="00A15B33" w:rsidRDefault="00A15B33" w:rsidP="005439BF">
            <w:pPr>
              <w:rPr>
                <w:rFonts w:ascii="Arial" w:hAnsi="Arial"/>
                <w:b/>
                <w:bCs/>
                <w:noProof w:val="0"/>
                <w:sz w:val="26"/>
                <w:szCs w:val="26"/>
                <w:rtl/>
              </w:rPr>
            </w:pPr>
          </w:p>
          <w:p w:rsidR="00A15B33" w:rsidRDefault="00341660" w:rsidP="00A15B33">
            <w:pPr>
              <w:rPr>
                <w:b/>
                <w:bCs/>
                <w:noProof w:val="0"/>
                <w:sz w:val="26"/>
                <w:szCs w:val="26"/>
                <w:rtl/>
              </w:rPr>
            </w:pPr>
            <w:sdt>
              <w:sdtPr>
                <w:rPr>
                  <w:rtl/>
                </w:rPr>
                <w:alias w:val="1571"/>
                <w:tag w:val="1571"/>
                <w:id w:val="1650790351"/>
                <w:showingPlcHdr/>
                <w:text w:multiLine="1"/>
              </w:sdtPr>
              <w:sdtEndPr/>
              <w:sdtContent>
                <w:r w:rsidR="00A15B33">
                  <w:rPr>
                    <w:rtl/>
                  </w:rPr>
                  <w:t xml:space="preserve">     </w:t>
                </w:r>
              </w:sdtContent>
            </w:sdt>
            <w:r w:rsidR="00A15B33">
              <w:rPr>
                <w:rFonts w:ascii="Arial" w:hAnsi="Arial"/>
                <w:b/>
                <w:bCs/>
                <w:noProof w:val="0"/>
                <w:sz w:val="26"/>
                <w:szCs w:val="26"/>
                <w:rtl/>
              </w:rPr>
              <w:t xml:space="preserve"> </w:t>
            </w:r>
            <w:r w:rsidR="00A15B33">
              <w:rPr>
                <w:rFonts w:ascii="Arial" w:hAnsi="Arial" w:hint="cs"/>
                <w:b/>
                <w:bCs/>
                <w:noProof w:val="0"/>
                <w:sz w:val="26"/>
                <w:szCs w:val="26"/>
                <w:rtl/>
              </w:rPr>
              <w:t>פלוני</w:t>
            </w:r>
          </w:p>
          <w:p w:rsidR="00A15B33" w:rsidRDefault="00A15B33" w:rsidP="00A15B33">
            <w:pPr>
              <w:rPr>
                <w:b/>
                <w:bCs/>
                <w:noProof w:val="0"/>
                <w:sz w:val="26"/>
                <w:szCs w:val="26"/>
                <w:rtl/>
              </w:rPr>
            </w:pPr>
            <w:r>
              <w:rPr>
                <w:rFonts w:hint="cs"/>
                <w:b/>
                <w:bCs/>
                <w:noProof w:val="0"/>
                <w:sz w:val="26"/>
                <w:szCs w:val="26"/>
                <w:rtl/>
              </w:rPr>
              <w:t>ע"י ב"כ עוה"ד מונעם ת'אבת</w:t>
            </w:r>
          </w:p>
        </w:tc>
      </w:tr>
      <w:tr w:rsidR="00A15B33" w:rsidTr="005439BF">
        <w:trPr>
          <w:jc w:val="center"/>
        </w:trPr>
        <w:tc>
          <w:tcPr>
            <w:tcW w:w="8820" w:type="dxa"/>
            <w:gridSpan w:val="3"/>
          </w:tcPr>
          <w:p w:rsidR="00A15B33" w:rsidRDefault="00A15B33" w:rsidP="005439BF">
            <w:pPr>
              <w:rPr>
                <w:b/>
                <w:bCs/>
                <w:sz w:val="26"/>
                <w:szCs w:val="26"/>
              </w:rPr>
            </w:pPr>
          </w:p>
          <w:p w:rsidR="00A15B33" w:rsidRDefault="00A15B33" w:rsidP="005439BF">
            <w:pPr>
              <w:rPr>
                <w:rFonts w:ascii="Arial" w:hAnsi="Arial"/>
                <w:b/>
                <w:bCs/>
                <w:noProof w:val="0"/>
                <w:sz w:val="26"/>
                <w:szCs w:val="26"/>
                <w:rtl/>
              </w:rPr>
            </w:pPr>
          </w:p>
        </w:tc>
      </w:tr>
    </w:tbl>
    <w:p w:rsidR="00A15B33" w:rsidRDefault="00A15B33" w:rsidP="00A15B33"/>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15B33" w:rsidTr="005439BF">
        <w:trPr>
          <w:jc w:val="center"/>
        </w:trPr>
        <w:tc>
          <w:tcPr>
            <w:tcW w:w="8820" w:type="dxa"/>
          </w:tcPr>
          <w:p w:rsidR="00A15B33" w:rsidRDefault="00A15B33" w:rsidP="005439BF">
            <w:pPr>
              <w:bidi w:val="0"/>
              <w:jc w:val="center"/>
              <w:rPr>
                <w:rFonts w:ascii="Arial" w:hAnsi="Arial"/>
                <w:b/>
                <w:bCs/>
                <w:noProof w:val="0"/>
                <w:sz w:val="26"/>
                <w:szCs w:val="26"/>
                <w:u w:val="single"/>
              </w:rPr>
            </w:pPr>
          </w:p>
          <w:p w:rsidR="00A15B33" w:rsidRDefault="00A15B33" w:rsidP="005439B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15B33" w:rsidRDefault="00A15B33" w:rsidP="00A15B33">
      <w:pPr>
        <w:spacing w:line="360" w:lineRule="auto"/>
        <w:rPr>
          <w:rFonts w:ascii="Arial" w:hAnsi="Arial"/>
        </w:rPr>
      </w:pPr>
    </w:p>
    <w:p w:rsidR="00A15B33" w:rsidRDefault="00A15B33" w:rsidP="00A15B33">
      <w:pPr>
        <w:spacing w:line="360" w:lineRule="auto"/>
        <w:jc w:val="both"/>
        <w:rPr>
          <w:rFonts w:ascii="David" w:hAnsi="David"/>
          <w:b/>
          <w:bCs/>
        </w:rPr>
      </w:pPr>
      <w:r>
        <w:rPr>
          <w:rFonts w:ascii="David" w:hAnsi="David"/>
          <w:b/>
          <w:bCs/>
          <w:rtl/>
        </w:rPr>
        <w:t>במסגרת דיון שהתקיים לפניי ביום 9.5.2024, הסמיכו הצדדים ובאי כוחם את בית המשפט, לפסוק בתביעה בתיק זה, על דרך הפשרה, בהתאם לסמכותו מכוח הוראות סעיף 79א לחוק בתי המשפט [נוסח משולב], התשמ"ד–1984, כאשר טווח הפיצוי יהיה בין 30,000 ₪ ל-120,000 ₪ כולל הוצאות משפט, וביקשו לסכם בקצרה טענותיהם בכתב.</w:t>
      </w:r>
    </w:p>
    <w:p w:rsidR="00A15B33" w:rsidRDefault="00A15B33" w:rsidP="00A15B33">
      <w:pPr>
        <w:spacing w:line="360" w:lineRule="auto"/>
        <w:jc w:val="both"/>
        <w:rPr>
          <w:rFonts w:ascii="David" w:hAnsi="David"/>
          <w:b/>
          <w:bCs/>
          <w:rtl/>
        </w:rPr>
      </w:pPr>
    </w:p>
    <w:p w:rsidR="00A15B33" w:rsidRDefault="00A15B33" w:rsidP="00A15B33">
      <w:pPr>
        <w:numPr>
          <w:ilvl w:val="0"/>
          <w:numId w:val="1"/>
        </w:numPr>
        <w:spacing w:line="360" w:lineRule="auto"/>
        <w:jc w:val="both"/>
        <w:rPr>
          <w:rFonts w:ascii="David" w:eastAsia="Calibri" w:hAnsi="David"/>
        </w:rPr>
      </w:pPr>
      <w:r>
        <w:rPr>
          <w:rFonts w:ascii="David" w:eastAsia="Calibri" w:hAnsi="David"/>
          <w:rtl/>
        </w:rPr>
        <w:t>עסקינן בתביעה נזיקית כספית בגין מעשי תקיפה שביצע לכאורה הנתבע כלפי התובעת, אשתו לשעבר</w:t>
      </w:r>
      <w:r>
        <w:rPr>
          <w:rFonts w:ascii="David" w:eastAsia="Calibri" w:hAnsi="David" w:hint="cs"/>
          <w:rtl/>
        </w:rPr>
        <w:t>,</w:t>
      </w:r>
      <w:r>
        <w:rPr>
          <w:rFonts w:ascii="David" w:eastAsia="Calibri" w:hAnsi="David"/>
          <w:rtl/>
        </w:rPr>
        <w:t xml:space="preserve"> במהלך </w:t>
      </w:r>
      <w:r>
        <w:rPr>
          <w:rFonts w:ascii="David" w:eastAsia="Calibri" w:hAnsi="David" w:hint="cs"/>
          <w:rtl/>
        </w:rPr>
        <w:t xml:space="preserve">תקופת </w:t>
      </w:r>
      <w:r>
        <w:rPr>
          <w:rFonts w:ascii="David" w:eastAsia="Calibri" w:hAnsi="David"/>
          <w:rtl/>
        </w:rPr>
        <w:t>נישואיהם</w:t>
      </w:r>
      <w:r>
        <w:rPr>
          <w:rFonts w:ascii="David" w:eastAsia="Calibri" w:hAnsi="David" w:hint="cs"/>
          <w:rtl/>
        </w:rPr>
        <w:t>.</w:t>
      </w:r>
    </w:p>
    <w:p w:rsidR="00A15B33" w:rsidRDefault="00A15B33" w:rsidP="00A15B33">
      <w:pPr>
        <w:spacing w:line="360" w:lineRule="auto"/>
        <w:ind w:left="720"/>
        <w:jc w:val="both"/>
        <w:rPr>
          <w:rFonts w:ascii="David" w:eastAsia="Calibri" w:hAnsi="David"/>
        </w:rPr>
      </w:pPr>
      <w:r>
        <w:rPr>
          <w:rFonts w:ascii="David" w:eastAsia="Calibri" w:hAnsi="David" w:hint="cs"/>
          <w:rtl/>
        </w:rPr>
        <w:t xml:space="preserve"> </w:t>
      </w:r>
    </w:p>
    <w:p w:rsidR="00A15B33" w:rsidRDefault="00A15B33" w:rsidP="00A15B33">
      <w:pPr>
        <w:numPr>
          <w:ilvl w:val="0"/>
          <w:numId w:val="1"/>
        </w:numPr>
        <w:spacing w:line="360" w:lineRule="auto"/>
        <w:jc w:val="both"/>
        <w:rPr>
          <w:rFonts w:ascii="David" w:eastAsia="Calibri" w:hAnsi="David"/>
        </w:rPr>
      </w:pPr>
      <w:r>
        <w:rPr>
          <w:rFonts w:ascii="David" w:eastAsia="Calibri" w:hAnsi="David" w:hint="cs"/>
          <w:rtl/>
        </w:rPr>
        <w:t xml:space="preserve">הצדדים היו נשואים משנת 2006 ונולדו להם 2 ילדים, שהינם כיום בני 14 ו </w:t>
      </w:r>
      <w:r>
        <w:rPr>
          <w:rFonts w:ascii="David" w:eastAsia="Calibri" w:hAnsi="David"/>
          <w:rtl/>
        </w:rPr>
        <w:t>–</w:t>
      </w:r>
      <w:r>
        <w:rPr>
          <w:rFonts w:ascii="David" w:eastAsia="Calibri" w:hAnsi="David" w:hint="cs"/>
          <w:rtl/>
        </w:rPr>
        <w:t xml:space="preserve"> 15 לערך.</w:t>
      </w:r>
    </w:p>
    <w:p w:rsidR="00A15B33" w:rsidRDefault="00A15B33" w:rsidP="00A15B33">
      <w:pPr>
        <w:pStyle w:val="a9"/>
        <w:jc w:val="both"/>
        <w:rPr>
          <w:rFonts w:ascii="David" w:eastAsia="Calibri" w:hAnsi="David" w:cs="David"/>
          <w:noProof/>
          <w:sz w:val="24"/>
          <w:szCs w:val="24"/>
          <w:rtl/>
        </w:rPr>
      </w:pPr>
    </w:p>
    <w:p w:rsidR="00A15B33" w:rsidRPr="00C33E07" w:rsidRDefault="00A15B33" w:rsidP="00A15B33">
      <w:pPr>
        <w:pStyle w:val="a9"/>
        <w:numPr>
          <w:ilvl w:val="0"/>
          <w:numId w:val="1"/>
        </w:numPr>
        <w:spacing w:line="360" w:lineRule="auto"/>
        <w:jc w:val="both"/>
        <w:rPr>
          <w:rFonts w:ascii="David" w:hAnsi="David" w:cs="David"/>
          <w:sz w:val="24"/>
          <w:szCs w:val="24"/>
        </w:rPr>
      </w:pPr>
      <w:r w:rsidRPr="00C33E07">
        <w:rPr>
          <w:rFonts w:ascii="David" w:hAnsi="David" w:cs="David" w:hint="cs"/>
          <w:sz w:val="24"/>
          <w:szCs w:val="24"/>
          <w:rtl/>
        </w:rPr>
        <w:t>לטענת התובעת, תקופה קצרה לאחר הנישואין החל הנתבע להתייחס אליה בצורה אלימה פיזית ומילולית, וכי גם לאחר שנולד בנם הראשון, הוא המשיך להתייחס אליה בצורה אלימה, ובהמשך התייחס גם אל ילדיו בצורה אלימה.</w:t>
      </w:r>
    </w:p>
    <w:p w:rsidR="00A15B33" w:rsidRDefault="00A15B33" w:rsidP="00A15B33">
      <w:pPr>
        <w:pStyle w:val="a9"/>
        <w:spacing w:line="360" w:lineRule="auto"/>
        <w:contextualSpacing w:val="0"/>
        <w:jc w:val="both"/>
        <w:rPr>
          <w:rFonts w:ascii="David" w:hAnsi="David" w:cs="David"/>
          <w:sz w:val="24"/>
          <w:szCs w:val="24"/>
        </w:rPr>
      </w:pPr>
      <w:r>
        <w:rPr>
          <w:rFonts w:ascii="David" w:hAnsi="David" w:cs="David" w:hint="cs"/>
          <w:sz w:val="24"/>
          <w:szCs w:val="24"/>
          <w:rtl/>
        </w:rPr>
        <w:t>התובעת קיוותה כל העת כי לאחר שהילדים יגדלו, היחס של הנתבע ישתפר ואולם המעשים רק החמירו יותר ויותר עד כדי איומים ברצח.</w:t>
      </w:r>
    </w:p>
    <w:p w:rsidR="00A15B33" w:rsidRPr="00C33E07" w:rsidRDefault="00A15B33" w:rsidP="00A15B33">
      <w:pPr>
        <w:pStyle w:val="a9"/>
        <w:numPr>
          <w:ilvl w:val="0"/>
          <w:numId w:val="1"/>
        </w:numPr>
        <w:spacing w:line="360" w:lineRule="auto"/>
        <w:contextualSpacing w:val="0"/>
        <w:jc w:val="both"/>
        <w:rPr>
          <w:rFonts w:ascii="David" w:hAnsi="David" w:cs="David"/>
          <w:sz w:val="24"/>
          <w:szCs w:val="24"/>
          <w:rtl/>
        </w:rPr>
      </w:pPr>
      <w:r>
        <w:rPr>
          <w:rFonts w:ascii="David" w:hAnsi="David" w:cs="David" w:hint="cs"/>
          <w:sz w:val="24"/>
          <w:szCs w:val="24"/>
          <w:rtl/>
        </w:rPr>
        <w:t xml:space="preserve">נטען כי הנתבע נהג כלפיה באלימות באופן מתמשך לכל אורך חייהם המשותפים, </w:t>
      </w:r>
      <w:r w:rsidRPr="00C33E07">
        <w:rPr>
          <w:rFonts w:ascii="David" w:hAnsi="David" w:cs="David"/>
          <w:sz w:val="24"/>
          <w:szCs w:val="24"/>
          <w:rtl/>
        </w:rPr>
        <w:t xml:space="preserve">כאשר האירוע הרציני ביותר התרחש </w:t>
      </w:r>
      <w:r w:rsidRPr="00C33E07">
        <w:rPr>
          <w:rFonts w:ascii="David" w:hAnsi="David" w:cs="David" w:hint="cs"/>
          <w:sz w:val="24"/>
          <w:szCs w:val="24"/>
          <w:rtl/>
        </w:rPr>
        <w:t xml:space="preserve">ביום </w:t>
      </w:r>
      <w:r>
        <w:rPr>
          <w:rFonts w:ascii="David" w:hAnsi="David" w:cs="David" w:hint="cs"/>
          <w:sz w:val="24"/>
          <w:szCs w:val="24"/>
          <w:rtl/>
        </w:rPr>
        <w:t>00.00.2020</w:t>
      </w:r>
      <w:r w:rsidRPr="00C33E07">
        <w:rPr>
          <w:rFonts w:ascii="David" w:hAnsi="David" w:cs="David" w:hint="cs"/>
          <w:sz w:val="24"/>
          <w:szCs w:val="24"/>
          <w:rtl/>
        </w:rPr>
        <w:t xml:space="preserve">, </w:t>
      </w:r>
      <w:r>
        <w:rPr>
          <w:rFonts w:ascii="David" w:hAnsi="David" w:cs="David" w:hint="cs"/>
          <w:sz w:val="24"/>
          <w:szCs w:val="24"/>
          <w:rtl/>
        </w:rPr>
        <w:t xml:space="preserve">במהלכו </w:t>
      </w:r>
      <w:r w:rsidRPr="00C33E07">
        <w:rPr>
          <w:rFonts w:ascii="David" w:hAnsi="David" w:cs="David" w:hint="cs"/>
          <w:sz w:val="24"/>
          <w:szCs w:val="24"/>
          <w:rtl/>
        </w:rPr>
        <w:t xml:space="preserve">הנתבע </w:t>
      </w:r>
      <w:r>
        <w:rPr>
          <w:rFonts w:ascii="David" w:hAnsi="David" w:cs="David" w:hint="cs"/>
          <w:sz w:val="24"/>
          <w:szCs w:val="24"/>
          <w:rtl/>
        </w:rPr>
        <w:t>בעט</w:t>
      </w:r>
      <w:r w:rsidRPr="00C33E07">
        <w:rPr>
          <w:rFonts w:ascii="David" w:hAnsi="David" w:cs="David" w:hint="cs"/>
          <w:sz w:val="24"/>
          <w:szCs w:val="24"/>
          <w:rtl/>
        </w:rPr>
        <w:t xml:space="preserve"> בה בכל גופה</w:t>
      </w:r>
      <w:r>
        <w:rPr>
          <w:rFonts w:ascii="David" w:hAnsi="David" w:cs="David" w:hint="cs"/>
          <w:sz w:val="24"/>
          <w:szCs w:val="24"/>
          <w:rtl/>
        </w:rPr>
        <w:t xml:space="preserve">, הנחית </w:t>
      </w:r>
      <w:r w:rsidRPr="00C33E07">
        <w:rPr>
          <w:rFonts w:ascii="David" w:hAnsi="David" w:cs="David" w:hint="cs"/>
          <w:sz w:val="24"/>
          <w:szCs w:val="24"/>
          <w:rtl/>
        </w:rPr>
        <w:t xml:space="preserve"> עליה אגרופים, משך בשערה תוך שהוא מאיים על חייה בסכין. </w:t>
      </w:r>
      <w:r>
        <w:rPr>
          <w:rFonts w:ascii="David" w:hAnsi="David" w:cs="David" w:hint="cs"/>
          <w:sz w:val="24"/>
          <w:szCs w:val="24"/>
          <w:rtl/>
        </w:rPr>
        <w:t xml:space="preserve"> </w:t>
      </w:r>
    </w:p>
    <w:p w:rsidR="00A15B33" w:rsidRDefault="00A15B33" w:rsidP="00A15B33">
      <w:pPr>
        <w:pStyle w:val="a9"/>
        <w:spacing w:line="360" w:lineRule="auto"/>
        <w:contextualSpacing w:val="0"/>
        <w:jc w:val="both"/>
        <w:rPr>
          <w:rFonts w:ascii="David" w:hAnsi="David" w:cs="David"/>
          <w:sz w:val="24"/>
          <w:szCs w:val="24"/>
          <w:rtl/>
        </w:rPr>
      </w:pPr>
      <w:r>
        <w:rPr>
          <w:rFonts w:ascii="David" w:hAnsi="David" w:cs="David" w:hint="cs"/>
          <w:sz w:val="24"/>
          <w:szCs w:val="24"/>
          <w:rtl/>
        </w:rPr>
        <w:t>תוך כדי האירוע, הגיע בנם הקטין של הצדדים וניסה להפריד ביניהם, ובתגובה איים עליו הנתבע שהוא ירצח אותו ואת אימו, והיכה גם אותו.</w:t>
      </w:r>
    </w:p>
    <w:p w:rsidR="00A15B33" w:rsidRDefault="00A15B33" w:rsidP="00A15B33">
      <w:pPr>
        <w:pStyle w:val="a9"/>
        <w:spacing w:line="360" w:lineRule="auto"/>
        <w:contextualSpacing w:val="0"/>
        <w:jc w:val="both"/>
        <w:rPr>
          <w:rFonts w:ascii="David" w:hAnsi="David" w:cs="David"/>
          <w:sz w:val="24"/>
          <w:szCs w:val="24"/>
          <w:rtl/>
        </w:rPr>
      </w:pPr>
      <w:r>
        <w:rPr>
          <w:rFonts w:ascii="David" w:hAnsi="David" w:cs="David" w:hint="cs"/>
          <w:sz w:val="24"/>
          <w:szCs w:val="24"/>
          <w:rtl/>
        </w:rPr>
        <w:lastRenderedPageBreak/>
        <w:t>לאחר מכן, החל הנתבע להשתולל בבית, שבר רהיטים, ניפץ חלונות וגרם נזק כבד.</w:t>
      </w:r>
    </w:p>
    <w:p w:rsidR="00A15B33" w:rsidRPr="00C50CCD" w:rsidRDefault="00A15B33" w:rsidP="00A15B33">
      <w:pPr>
        <w:pStyle w:val="a9"/>
        <w:numPr>
          <w:ilvl w:val="0"/>
          <w:numId w:val="1"/>
        </w:numPr>
        <w:spacing w:line="360" w:lineRule="auto"/>
        <w:jc w:val="both"/>
        <w:rPr>
          <w:rFonts w:ascii="David" w:hAnsi="David" w:cs="David"/>
          <w:sz w:val="24"/>
          <w:szCs w:val="24"/>
        </w:rPr>
      </w:pPr>
      <w:r w:rsidRPr="00C50CCD">
        <w:rPr>
          <w:rFonts w:ascii="David" w:hAnsi="David" w:cs="David"/>
          <w:sz w:val="24"/>
          <w:szCs w:val="24"/>
          <w:rtl/>
        </w:rPr>
        <w:t xml:space="preserve">בגין האירוע הנ"ל, הוגשה תלונה במשרה, בעקבותיה </w:t>
      </w:r>
      <w:r>
        <w:rPr>
          <w:rFonts w:ascii="David" w:hAnsi="David" w:cs="David" w:hint="cs"/>
          <w:sz w:val="24"/>
          <w:szCs w:val="24"/>
          <w:rtl/>
        </w:rPr>
        <w:t xml:space="preserve">נעצר </w:t>
      </w:r>
      <w:r w:rsidRPr="00C50CCD">
        <w:rPr>
          <w:rFonts w:ascii="David" w:hAnsi="David" w:cs="David"/>
          <w:sz w:val="24"/>
          <w:szCs w:val="24"/>
          <w:rtl/>
        </w:rPr>
        <w:t>הנ</w:t>
      </w:r>
      <w:r>
        <w:rPr>
          <w:rFonts w:ascii="David" w:hAnsi="David" w:cs="David"/>
          <w:sz w:val="24"/>
          <w:szCs w:val="24"/>
          <w:rtl/>
        </w:rPr>
        <w:t>תבע</w:t>
      </w:r>
      <w:r w:rsidRPr="00C50CCD">
        <w:rPr>
          <w:rFonts w:ascii="David" w:hAnsi="David" w:cs="David"/>
          <w:sz w:val="24"/>
          <w:szCs w:val="24"/>
          <w:rtl/>
        </w:rPr>
        <w:t>, והוגש נגדו כתב אישום המייחס לו עבירות של אלימות, תקיפת קטין וגרימת חבלה ע"י אחראי, תקיפה הגורמת לחבלה של ממש לבת זוג ועבירות אלימות נוספות.</w:t>
      </w:r>
    </w:p>
    <w:p w:rsidR="00A15B33" w:rsidRDefault="00A15B33" w:rsidP="00A15B33">
      <w:pPr>
        <w:pStyle w:val="a9"/>
        <w:spacing w:line="360" w:lineRule="auto"/>
        <w:contextualSpacing w:val="0"/>
        <w:jc w:val="both"/>
        <w:rPr>
          <w:rFonts w:ascii="David" w:hAnsi="David" w:cs="David"/>
          <w:sz w:val="24"/>
          <w:szCs w:val="24"/>
          <w:rtl/>
        </w:rPr>
      </w:pPr>
    </w:p>
    <w:p w:rsidR="00A15B33" w:rsidRPr="00C50CCD" w:rsidRDefault="00A15B33" w:rsidP="00A15B33">
      <w:pPr>
        <w:pStyle w:val="a9"/>
        <w:spacing w:line="360" w:lineRule="auto"/>
        <w:contextualSpacing w:val="0"/>
        <w:jc w:val="both"/>
        <w:rPr>
          <w:rFonts w:ascii="David" w:hAnsi="David" w:cs="David"/>
          <w:sz w:val="24"/>
          <w:szCs w:val="24"/>
        </w:rPr>
      </w:pPr>
      <w:r w:rsidRPr="00C50CCD">
        <w:rPr>
          <w:rFonts w:ascii="David" w:hAnsi="David" w:cs="David"/>
          <w:sz w:val="24"/>
          <w:szCs w:val="24"/>
          <w:rtl/>
        </w:rPr>
        <w:t>הנתבע הורשע על פי הודאתו, ובמסגרת הסדר טיעון, בכתב אישום מתוקן בעבירות של תקיפת קטין ותקיפה הגורמת חבלה של ממש לבת זוג ועבירת איומים.</w:t>
      </w:r>
    </w:p>
    <w:p w:rsidR="00A15B33" w:rsidRDefault="00A15B33" w:rsidP="00A15B33">
      <w:pPr>
        <w:pStyle w:val="a9"/>
        <w:spacing w:line="360" w:lineRule="auto"/>
        <w:contextualSpacing w:val="0"/>
        <w:jc w:val="both"/>
        <w:rPr>
          <w:rFonts w:ascii="David" w:hAnsi="David" w:cs="David"/>
          <w:sz w:val="24"/>
          <w:szCs w:val="24"/>
          <w:rtl/>
        </w:rPr>
      </w:pPr>
      <w:r>
        <w:rPr>
          <w:rFonts w:ascii="David" w:hAnsi="David" w:cs="David" w:hint="cs"/>
          <w:sz w:val="24"/>
          <w:szCs w:val="24"/>
          <w:rtl/>
        </w:rPr>
        <w:t xml:space="preserve">ביום 25.2.2021  גזר בית משפט השלום בירושלים את דינו של הנתבע, במסגרת גזר הדין צוין בין היתר כי "בתארו את האירוע בגינו הורשע </w:t>
      </w:r>
      <w:r>
        <w:rPr>
          <w:rFonts w:ascii="David" w:hAnsi="David" w:cs="David"/>
          <w:sz w:val="24"/>
          <w:szCs w:val="24"/>
          <w:rtl/>
        </w:rPr>
        <w:t>–</w:t>
      </w:r>
      <w:r>
        <w:rPr>
          <w:rFonts w:ascii="David" w:hAnsi="David" w:cs="David" w:hint="cs"/>
          <w:sz w:val="24"/>
          <w:szCs w:val="24"/>
          <w:rtl/>
        </w:rPr>
        <w:t xml:space="preserve"> לא נטל הנאשם אחריות על ביצוע המעשים ואף הכחישם" (סעיף 7) "בגורמי הסיכון תוארה האלימות הממושכת, חומרתה, וחוסר נטילת אחריות לביצוע המעשים" (סעיף 10), בית המשפט עמד על חומרתן הרבה של עבירות אלימות במשפחה, ועל הצורך להחמיר בענישה בעבירות אלה (סעיף 19). כן צוין כי שירות המבחן המליץ להטיל על הנתבע ענישה מוחשית, מרתיעה ומציבת גבול, לצד מאסר על תנאי (סעיף 36). בית המשפט גזר על הנתבע 9 חודשי מאסר בפועל, ו </w:t>
      </w:r>
      <w:r>
        <w:rPr>
          <w:rFonts w:ascii="David" w:hAnsi="David" w:cs="David"/>
          <w:sz w:val="24"/>
          <w:szCs w:val="24"/>
          <w:rtl/>
        </w:rPr>
        <w:t>–</w:t>
      </w:r>
      <w:r>
        <w:rPr>
          <w:rFonts w:ascii="David" w:hAnsi="David" w:cs="David" w:hint="cs"/>
          <w:sz w:val="24"/>
          <w:szCs w:val="24"/>
          <w:rtl/>
        </w:rPr>
        <w:t xml:space="preserve"> 6 חודשי מאסר על תנאי, וכן תשלום פיצוי לתובעת בסך של 2,500 ₪.</w:t>
      </w:r>
    </w:p>
    <w:p w:rsidR="00A15B33" w:rsidRPr="003174E5" w:rsidRDefault="00A15B33" w:rsidP="00A15B33">
      <w:pPr>
        <w:pStyle w:val="a9"/>
        <w:spacing w:line="360" w:lineRule="auto"/>
        <w:contextualSpacing w:val="0"/>
        <w:jc w:val="both"/>
        <w:rPr>
          <w:rFonts w:ascii="David" w:hAnsi="David" w:cs="David"/>
          <w:sz w:val="24"/>
          <w:szCs w:val="24"/>
        </w:rPr>
      </w:pPr>
      <w:r>
        <w:rPr>
          <w:rFonts w:ascii="David" w:hAnsi="David" w:cs="David" w:hint="cs"/>
          <w:sz w:val="24"/>
          <w:szCs w:val="24"/>
          <w:rtl/>
        </w:rPr>
        <w:t xml:space="preserve">במסגרת ערעור שהגיש הנתבע לבית המשפט המחוזי על גזר הדין, נפסק ביום 26.4.2021 כי יש להפחית את תקופת המאסר לריצוי בפועל ל </w:t>
      </w:r>
      <w:r>
        <w:rPr>
          <w:rFonts w:ascii="David" w:hAnsi="David" w:cs="David"/>
          <w:sz w:val="24"/>
          <w:szCs w:val="24"/>
          <w:rtl/>
        </w:rPr>
        <w:t>–</w:t>
      </w:r>
      <w:r>
        <w:rPr>
          <w:rFonts w:ascii="David" w:hAnsi="David" w:cs="David" w:hint="cs"/>
          <w:sz w:val="24"/>
          <w:szCs w:val="24"/>
          <w:rtl/>
        </w:rPr>
        <w:t xml:space="preserve"> 6 חודשים, ואולם צוין כי "אנו שותפים לגישתו של בית המשפט קמא, המבטאת התייחסות מחמירה למעשיו של המערער ולשאט הנפש שיש להביע מתקיפת בת זוג וילד צעיר, ומתחם הענישה שנקבע הולם את הנסיבות. תקיפה אלימה של בני משפחה בין כתלי ביתם </w:t>
      </w:r>
      <w:r>
        <w:rPr>
          <w:rFonts w:ascii="David" w:hAnsi="David" w:cs="David"/>
          <w:sz w:val="24"/>
          <w:szCs w:val="24"/>
          <w:rtl/>
        </w:rPr>
        <w:t>–</w:t>
      </w:r>
      <w:r>
        <w:rPr>
          <w:rFonts w:ascii="David" w:hAnsi="David" w:cs="David" w:hint="cs"/>
          <w:sz w:val="24"/>
          <w:szCs w:val="24"/>
          <w:rtl/>
        </w:rPr>
        <w:t xml:space="preserve"> מקום שבו אמורים הם לחוש ביטחון מחייבת ענישה מחמירה ומרתיעה...". לצד זאת נקבע שיש לקחת בחשבן גם שיקולי אחרים ובהם נטילת אחריות מצד הנתבע, פירוק התא המשפחתי, הנתק בינו לבין ילדיו, העדר עבר פלילי, וכי מדובר במעידה חד פעמית.</w:t>
      </w:r>
    </w:p>
    <w:p w:rsidR="00A15B33" w:rsidRDefault="00A15B33" w:rsidP="00A15B33">
      <w:pPr>
        <w:pStyle w:val="a9"/>
        <w:numPr>
          <w:ilvl w:val="0"/>
          <w:numId w:val="1"/>
        </w:numPr>
        <w:spacing w:line="360" w:lineRule="auto"/>
        <w:contextualSpacing w:val="0"/>
        <w:jc w:val="both"/>
        <w:rPr>
          <w:rFonts w:ascii="David" w:hAnsi="David" w:cs="David"/>
          <w:sz w:val="24"/>
          <w:szCs w:val="24"/>
        </w:rPr>
      </w:pPr>
      <w:r>
        <w:rPr>
          <w:rFonts w:ascii="David" w:hAnsi="David" w:cs="David" w:hint="cs"/>
          <w:sz w:val="24"/>
          <w:szCs w:val="24"/>
          <w:rtl/>
        </w:rPr>
        <w:t>הצדדים התגרשו ביום 00.00.2021, התובעת גרה עם ילדיה בבת הוריה אשר תומכים בה נפשית וכלכלית, ואין כל קשר בין הצדדים לרבות בין הנתבע לילדיו.</w:t>
      </w:r>
    </w:p>
    <w:p w:rsidR="00A15B33" w:rsidRPr="00C50CCD" w:rsidRDefault="00A15B33" w:rsidP="00A15B33">
      <w:pPr>
        <w:pStyle w:val="a9"/>
        <w:numPr>
          <w:ilvl w:val="0"/>
          <w:numId w:val="1"/>
        </w:numPr>
        <w:spacing w:line="360" w:lineRule="auto"/>
        <w:contextualSpacing w:val="0"/>
        <w:jc w:val="both"/>
        <w:rPr>
          <w:rFonts w:ascii="David" w:hAnsi="David" w:cs="David"/>
          <w:sz w:val="24"/>
          <w:szCs w:val="24"/>
        </w:rPr>
      </w:pPr>
      <w:r>
        <w:rPr>
          <w:rFonts w:ascii="David" w:hAnsi="David" w:cs="David" w:hint="cs"/>
          <w:sz w:val="24"/>
          <w:szCs w:val="24"/>
          <w:rtl/>
        </w:rPr>
        <w:t xml:space="preserve">עילות התביעה שמנתה התובעת הינן בגין עוולת תקיפה והפרת חובה חקוקה, הפרת הסכם </w:t>
      </w:r>
      <w:r w:rsidRPr="00C50CCD">
        <w:rPr>
          <w:rFonts w:ascii="David" w:hAnsi="David" w:cs="David"/>
          <w:sz w:val="24"/>
          <w:szCs w:val="24"/>
          <w:rtl/>
        </w:rPr>
        <w:t>הנישואין בין בני זוג.</w:t>
      </w:r>
    </w:p>
    <w:p w:rsidR="00A15B33" w:rsidRPr="00C50CCD" w:rsidRDefault="00A15B33" w:rsidP="00A15B33">
      <w:pPr>
        <w:pStyle w:val="a9"/>
        <w:numPr>
          <w:ilvl w:val="0"/>
          <w:numId w:val="1"/>
        </w:numPr>
        <w:spacing w:line="360" w:lineRule="auto"/>
        <w:jc w:val="both"/>
        <w:rPr>
          <w:rFonts w:ascii="David" w:eastAsia="Calibri" w:hAnsi="David" w:cs="David"/>
          <w:sz w:val="24"/>
          <w:szCs w:val="24"/>
          <w:rtl/>
        </w:rPr>
      </w:pPr>
      <w:r w:rsidRPr="00C50CCD">
        <w:rPr>
          <w:rFonts w:ascii="David" w:hAnsi="David" w:cs="David"/>
          <w:sz w:val="24"/>
          <w:szCs w:val="24"/>
          <w:rtl/>
        </w:rPr>
        <w:t xml:space="preserve">נטען כי התקיפה שעברה התובעת ומעשי האלימות שחוותה במשך שנות נישואיה, גרמו לה נזקים רבים, </w:t>
      </w:r>
      <w:r>
        <w:rPr>
          <w:rFonts w:ascii="David" w:hAnsi="David" w:cs="David" w:hint="cs"/>
          <w:sz w:val="24"/>
          <w:szCs w:val="24"/>
          <w:rtl/>
        </w:rPr>
        <w:t>ולנכות צמיתה.</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lastRenderedPageBreak/>
        <w:t>התובעת טענה לנזקים מיוחדים בדמות הוצאות רפואיות בסך של 40,000 ₪, הוצאות נסיעה בסך של כ-20,000 ₪, ועזרת הזולת בסך של 40,000 ₪. לכתב התביעה לא צורפו כל אסמכתאות לנטען.</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 xml:space="preserve">נטען כי לתובעת נזקים כלליים הכוללים הוצאות רפואיות עתידיות (לרבות טיפולים פסיכולוגיים ופסיכיאטרים), הפסד השתכרות עתידית, כאב וסבל, אובדן פנסיה ופגיעה בזכויות סוציאליות, עזרת זולת לעתיד. </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הנתבע מכחיש את הטענות נגדו וטוען כי לא מדובר במסכת אירועי אלימות כי אם באירוע בודד בלבד. כן נטען כי התובעת לא הוכיחה את נזקיה בצירוף ראיות.</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בהסכמת הצדדים מונה פרופ' יואב כהן כמומחה מטעם בית המשפט אשר קבע בחוות דעתו מיום 27.12.2023 כי התובעת סובלת מנכות פסיכיאטרית צמיתה בשיעור של 20%, וכי הנכות נזקפת בשיעור 3/4 (כלומר רק 15%) "</w:t>
      </w:r>
      <w:r>
        <w:rPr>
          <w:rFonts w:ascii="Miriam" w:hAnsi="Miriam" w:cs="Miriam"/>
          <w:rtl/>
        </w:rPr>
        <w:t>לחובת האירועים נשוא תביעה זו שהם כלל מסכת התקיפות הנטענת מצד בעלה לשעבר ולאו דווקא האירוע בגינו הורשע בבית המשפט. שאר הנכות בשיעור רבע נזקף לחובת מצבה הגופני של התובעת</w:t>
      </w:r>
      <w:r>
        <w:rPr>
          <w:rFonts w:ascii="David" w:hAnsi="David"/>
          <w:rtl/>
        </w:rPr>
        <w:t>".</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עוד קבע המומחה כי במצבה של התובעת אין ולא היה משום אובדן כושר עבודה מבחינה פסיכיאטרית, מעבר למשתקף בנכות הפסיכיאטרית הנ"ל.</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אציין כי בין יתר השיקולים שנשקלו לצורך הכרעה כאמור, הבאתי בחשבון את העובדה כי מבחינה ראייתית נכון לשלב זה, לא הוכחו טענות התובעת למסכת של מעשי אלימות כלפיה לאורך כל חיי הנישואין, להבדיל מאותו אירוע תקיפה בודד בגינו הודה הנתבע, הורשע ונגזר דינו, למרות שהתובעת כן נשאלה (לאחר שהוזהרה) בדיון מיום 14.12.2022 שאלות ע"י בית המשפט.</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 xml:space="preserve">כמו כן, נתתי דעתי לכך שהמומחה מציין בחוות דעתו כי עולה מתיקה הרפואי כי התובעת עברה תאונת דרכים בתאריך </w:t>
      </w:r>
      <w:r>
        <w:rPr>
          <w:rFonts w:ascii="David" w:hAnsi="David" w:hint="cs"/>
          <w:rtl/>
        </w:rPr>
        <w:t>00.00.2000</w:t>
      </w:r>
      <w:r>
        <w:rPr>
          <w:rFonts w:ascii="David" w:hAnsi="David"/>
          <w:rtl/>
        </w:rPr>
        <w:t xml:space="preserve"> ללא פירוט מה קרה בה והאם נגרם לה נזק גופני או נפשי בעקבות כך, וכי ביום </w:t>
      </w:r>
      <w:r>
        <w:rPr>
          <w:rFonts w:ascii="David" w:hAnsi="David" w:hint="cs"/>
          <w:rtl/>
        </w:rPr>
        <w:t>00.00.2014</w:t>
      </w:r>
      <w:r>
        <w:rPr>
          <w:rFonts w:ascii="David" w:hAnsi="David"/>
          <w:rtl/>
        </w:rPr>
        <w:t xml:space="preserve"> נכתב בתיקה שהיא סובלת מכאבי ראש על רקע מתח נפשי, וכי ייתכן כי קבלת מלוא החומר הרפואי החסר והשלמת המידע היתה עשויה להביא להפחתת הקשר הסיבתי בין טענות האלימות לנכות שנקבעה לתובעת בגינן.</w:t>
      </w:r>
    </w:p>
    <w:p w:rsidR="00A15B33" w:rsidRDefault="00A15B33" w:rsidP="00A15B33">
      <w:pPr>
        <w:pStyle w:val="a9"/>
        <w:rPr>
          <w:rFonts w:ascii="David"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lastRenderedPageBreak/>
        <w:t xml:space="preserve">מנגד, יש לקחת בחשבון את העובדה כי במקרים רבים לא מדובר באירוע בודד חד פעמי, כי אם במסכת של מקרי אלימות בחיי הזוגיות במשפחה, אשר יש נטייה להסתיר מעיני הציבור ובני המשפחה (ראו: תלה"מ 48940-07-20 </w:t>
      </w:r>
      <w:r>
        <w:rPr>
          <w:rFonts w:ascii="David" w:hAnsi="David"/>
          <w:b/>
          <w:bCs/>
          <w:rtl/>
        </w:rPr>
        <w:t xml:space="preserve">ש' נ' ש' </w:t>
      </w:r>
      <w:r>
        <w:rPr>
          <w:rFonts w:ascii="David" w:hAnsi="David"/>
          <w:rtl/>
        </w:rPr>
        <w:t>(24.7.2022)).</w:t>
      </w:r>
    </w:p>
    <w:p w:rsidR="00A15B33" w:rsidRDefault="00A15B33" w:rsidP="00A15B33">
      <w:pPr>
        <w:pStyle w:val="a9"/>
        <w:rPr>
          <w:rFonts w:ascii="David" w:eastAsia="Times New Roman" w:hAnsi="David" w:cs="David"/>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 xml:space="preserve">הפסיקה התייחסה בחומרה לתופעות של אלימות במשפחה והמגמה היא להעלות את רף הפיצוי בגין נזק לא ממוני, גם בגין תקיפה חד פעמית (ראו: </w:t>
      </w:r>
      <w:r w:rsidRPr="00BF553C">
        <w:rPr>
          <w:rFonts w:ascii="David" w:hAnsi="David"/>
          <w:rtl/>
        </w:rPr>
        <w:t xml:space="preserve">בע"מ 1014/05 </w:t>
      </w:r>
      <w:r>
        <w:rPr>
          <w:rFonts w:ascii="David" w:hAnsi="David" w:hint="cs"/>
          <w:b/>
          <w:bCs/>
          <w:rtl/>
        </w:rPr>
        <w:t>פלוני נ' אלמונית</w:t>
      </w:r>
      <w:r>
        <w:rPr>
          <w:rFonts w:ascii="David" w:hAnsi="David" w:hint="cs"/>
          <w:rtl/>
        </w:rPr>
        <w:t xml:space="preserve"> (15.6.2002); </w:t>
      </w:r>
      <w:r>
        <w:rPr>
          <w:rFonts w:ascii="David" w:hAnsi="David"/>
          <w:rtl/>
        </w:rPr>
        <w:t xml:space="preserve">בע"מ 7073/13 </w:t>
      </w:r>
      <w:r>
        <w:rPr>
          <w:rFonts w:ascii="David" w:hAnsi="David"/>
          <w:b/>
          <w:bCs/>
          <w:rtl/>
        </w:rPr>
        <w:t xml:space="preserve">פלוני נ' פלונית </w:t>
      </w:r>
      <w:r>
        <w:rPr>
          <w:rFonts w:ascii="David" w:hAnsi="David"/>
          <w:rtl/>
        </w:rPr>
        <w:t xml:space="preserve">(31.12.2013); תמ"ש (חיפה) 9250-11-08 </w:t>
      </w:r>
      <w:r>
        <w:rPr>
          <w:rFonts w:ascii="David" w:hAnsi="David"/>
          <w:b/>
          <w:bCs/>
          <w:rtl/>
        </w:rPr>
        <w:t>האישה נ' הבעל</w:t>
      </w:r>
      <w:r>
        <w:rPr>
          <w:rFonts w:ascii="David" w:hAnsi="David"/>
          <w:rtl/>
        </w:rPr>
        <w:t xml:space="preserve"> (15.8.2012); תמ"ש (טבריה) 3355-02-15 </w:t>
      </w:r>
      <w:r>
        <w:rPr>
          <w:rFonts w:ascii="David" w:hAnsi="David"/>
          <w:b/>
          <w:bCs/>
          <w:rtl/>
        </w:rPr>
        <w:t>פלונית נ' אלמוני</w:t>
      </w:r>
      <w:r>
        <w:rPr>
          <w:rFonts w:ascii="David" w:hAnsi="David"/>
          <w:rtl/>
        </w:rPr>
        <w:t xml:space="preserve"> (1.8.2017); תמ"ש (י-ם) 56762-03-18 </w:t>
      </w:r>
      <w:r>
        <w:rPr>
          <w:rFonts w:ascii="David" w:hAnsi="David"/>
          <w:b/>
          <w:bCs/>
          <w:rtl/>
        </w:rPr>
        <w:t>ט.ש נ' א.ש</w:t>
      </w:r>
      <w:r>
        <w:rPr>
          <w:rFonts w:ascii="David" w:hAnsi="David"/>
          <w:rtl/>
        </w:rPr>
        <w:t xml:space="preserve"> (21.11.2018)). </w:t>
      </w:r>
    </w:p>
    <w:p w:rsidR="00A15B33" w:rsidRDefault="00A15B33" w:rsidP="00A15B33">
      <w:pPr>
        <w:pStyle w:val="a9"/>
        <w:rPr>
          <w:rFonts w:ascii="David" w:eastAsia="Times New Roman" w:hAnsi="David" w:cs="David"/>
          <w:noProof/>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לסיכום - לאחר שעיינתי בכלל החומר בתיק, בחנתי את כלל טיעוני הצדדים שקלתי את כלל השיקולים הנדרשים לעניין, אני מחייבת את הנתבע לשלם לתובעת פיצוי כולל בסך של 100,000 ₪.</w:t>
      </w:r>
    </w:p>
    <w:p w:rsidR="00A15B33" w:rsidRDefault="00A15B33" w:rsidP="00A15B33">
      <w:pPr>
        <w:pStyle w:val="a9"/>
        <w:rPr>
          <w:rFonts w:ascii="David" w:eastAsia="Times New Roman" w:hAnsi="David" w:cs="David"/>
          <w:noProof/>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ככל שהסכום לא ישולם תוך 30 יום מהיום, תחול לגביו הוראת סעיף 5 (ב) לחוק פסיקת ריבית והצמדה, התשכ"א–1961 ומועד מתן פסק דין זה יהווה המועד לפירעון הסכום צורך הוראת הסעיף האמור.</w:t>
      </w:r>
    </w:p>
    <w:p w:rsidR="00A15B33" w:rsidRDefault="00A15B33" w:rsidP="00A15B33">
      <w:pPr>
        <w:pStyle w:val="a9"/>
        <w:rPr>
          <w:rFonts w:ascii="David" w:eastAsia="Times New Roman" w:hAnsi="David" w:cs="David"/>
          <w:noProof/>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בכך בא הליך זה אל סיומו.</w:t>
      </w:r>
    </w:p>
    <w:p w:rsidR="00A15B33" w:rsidRDefault="00A15B33" w:rsidP="00A15B33">
      <w:pPr>
        <w:pStyle w:val="a9"/>
        <w:rPr>
          <w:rFonts w:ascii="David" w:eastAsia="Times New Roman" w:hAnsi="David" w:cs="David"/>
          <w:noProof/>
          <w:sz w:val="24"/>
          <w:szCs w:val="24"/>
        </w:rPr>
      </w:pPr>
    </w:p>
    <w:p w:rsidR="00A15B33" w:rsidRDefault="00A15B33" w:rsidP="00A15B33">
      <w:pPr>
        <w:numPr>
          <w:ilvl w:val="0"/>
          <w:numId w:val="1"/>
        </w:numPr>
        <w:spacing w:line="360" w:lineRule="auto"/>
        <w:jc w:val="both"/>
        <w:rPr>
          <w:rFonts w:ascii="David" w:eastAsia="Calibri" w:hAnsi="David"/>
          <w:rtl/>
        </w:rPr>
      </w:pPr>
      <w:r>
        <w:rPr>
          <w:rFonts w:ascii="David" w:hAnsi="David"/>
          <w:rtl/>
        </w:rPr>
        <w:t xml:space="preserve">המזכירות תסגור את התיק. </w:t>
      </w:r>
    </w:p>
    <w:p w:rsidR="00A15B33" w:rsidRDefault="00A15B33" w:rsidP="00A15B33">
      <w:pPr>
        <w:spacing w:line="360" w:lineRule="auto"/>
        <w:jc w:val="both"/>
        <w:rPr>
          <w:rFonts w:ascii="David" w:hAnsi="David"/>
        </w:rPr>
      </w:pPr>
    </w:p>
    <w:p w:rsidR="00A15B33" w:rsidRDefault="00A15B33" w:rsidP="00A15B33">
      <w:pPr>
        <w:spacing w:line="360" w:lineRule="auto"/>
        <w:jc w:val="both"/>
        <w:rPr>
          <w:rFonts w:ascii="Arial" w:hAnsi="Arial"/>
          <w:noProof w:val="0"/>
          <w:rtl/>
        </w:rPr>
      </w:pPr>
    </w:p>
    <w:p w:rsidR="00A15B33" w:rsidRDefault="00A15B33" w:rsidP="00A15B3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ד' סיוון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10 יוני 2024</w:t>
          </w:r>
        </w:sdtContent>
      </w:sdt>
      <w:r>
        <w:rPr>
          <w:rFonts w:ascii="Arial" w:hAnsi="Arial"/>
          <w:noProof w:val="0"/>
          <w:rtl/>
        </w:rPr>
        <w:t>, בהעדר הצדדים.</w:t>
      </w:r>
    </w:p>
    <w:p w:rsidR="00A15B33" w:rsidRDefault="00A15B33" w:rsidP="00A15B33">
      <w:pPr>
        <w:spacing w:line="360" w:lineRule="auto"/>
        <w:jc w:val="both"/>
        <w:rPr>
          <w:rFonts w:ascii="Arial" w:hAnsi="Arial"/>
          <w:noProof w:val="0"/>
          <w:rtl/>
        </w:rPr>
      </w:pPr>
    </w:p>
    <w:p w:rsidR="00A15B33" w:rsidRDefault="00A15B33" w:rsidP="00A15B33">
      <w:pPr>
        <w:spacing w:line="360" w:lineRule="auto"/>
        <w:jc w:val="center"/>
      </w:pPr>
      <w:r>
        <w:rPr>
          <w:rtl/>
        </w:rPr>
        <w:tab/>
      </w:r>
      <w:r>
        <w:rPr>
          <w:rtl/>
        </w:rPr>
        <w:tab/>
      </w:r>
      <w:r>
        <w:rPr>
          <w:rtl/>
        </w:rPr>
        <w:tab/>
      </w:r>
      <w:sdt>
        <w:sdtPr>
          <w:rPr>
            <w:rtl/>
          </w:rPr>
          <w:alias w:val="MergeField"/>
          <w:tag w:val="1237"/>
          <w:id w:val="-519933849"/>
        </w:sdtPr>
        <w:sdtEndPr/>
        <w:sdtContent>
          <w:r>
            <w:drawing>
              <wp:inline distT="0" distB="0" distL="0" distR="0" wp14:anchorId="09FE3BD9" wp14:editId="794AA428">
                <wp:extent cx="2428875"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428875" cy="1295400"/>
                        </a:xfrm>
                        <a:prstGeom prst="rect">
                          <a:avLst/>
                        </a:prstGeom>
                      </pic:spPr>
                    </pic:pic>
                  </a:graphicData>
                </a:graphic>
              </wp:inline>
            </w:drawing>
          </w:r>
        </w:sdtContent>
      </w:sdt>
    </w:p>
    <w:p w:rsidR="00A15B33" w:rsidRDefault="00A15B33" w:rsidP="00A15B33">
      <w:pPr>
        <w:spacing w:line="360" w:lineRule="auto"/>
        <w:jc w:val="center"/>
        <w:rPr>
          <w:rFonts w:ascii="Arial" w:hAnsi="Arial"/>
          <w:noProof w:val="0"/>
          <w:rtl/>
        </w:rPr>
      </w:pPr>
    </w:p>
    <w:p w:rsidR="00A15B33" w:rsidRDefault="00A15B33" w:rsidP="00A15B33">
      <w:pPr>
        <w:spacing w:line="360" w:lineRule="auto"/>
        <w:jc w:val="both"/>
        <w:rPr>
          <w:rFonts w:ascii="Arial" w:hAnsi="Arial"/>
          <w:noProof w:val="0"/>
          <w:rtl/>
        </w:rPr>
      </w:pPr>
    </w:p>
    <w:p w:rsidR="000F0E2A" w:rsidRDefault="000F0E2A"/>
    <w:sectPr w:rsidR="000F0E2A"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660" w:rsidRDefault="00341660" w:rsidP="00A15B33">
      <w:r>
        <w:separator/>
      </w:r>
    </w:p>
  </w:endnote>
  <w:endnote w:type="continuationSeparator" w:id="0">
    <w:p w:rsidR="00341660" w:rsidRDefault="00341660" w:rsidP="00A1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C8E" w:rsidRDefault="00BA3C8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15B33">
    <w:pPr>
      <w:pStyle w:val="a5"/>
      <w:jc w:val="center"/>
      <w:rPr>
        <w:rStyle w:val="a8"/>
      </w:rPr>
    </w:pPr>
    <w:r>
      <w:rPr>
        <w:rStyle w:val="a8"/>
      </w:rPr>
      <w:fldChar w:fldCharType="begin"/>
    </w:r>
    <w:r>
      <w:rPr>
        <w:rStyle w:val="a8"/>
      </w:rPr>
      <w:instrText xml:space="preserve"> PAGE </w:instrText>
    </w:r>
    <w:r>
      <w:rPr>
        <w:rStyle w:val="a8"/>
      </w:rPr>
      <w:fldChar w:fldCharType="separate"/>
    </w:r>
    <w:r w:rsidR="00BA3C8E">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BA3C8E">
      <w:rPr>
        <w:rStyle w:val="a8"/>
        <w:rtl/>
      </w:rPr>
      <w:t>4</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C8E" w:rsidRDefault="00BA3C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660" w:rsidRDefault="00341660" w:rsidP="00A15B33">
      <w:r>
        <w:separator/>
      </w:r>
    </w:p>
  </w:footnote>
  <w:footnote w:type="continuationSeparator" w:id="0">
    <w:p w:rsidR="00341660" w:rsidRDefault="00341660" w:rsidP="00A15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C8E" w:rsidRDefault="00BA3C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15B33">
    <w:pPr>
      <w:pStyle w:val="a3"/>
      <w:jc w:val="center"/>
      <w:rPr>
        <w:rFonts w:cs="FrankRuehl"/>
        <w:noProof w:val="0"/>
        <w:sz w:val="28"/>
        <w:szCs w:val="28"/>
        <w:rtl/>
      </w:rPr>
    </w:pPr>
    <w:r>
      <w:rPr>
        <w:rFonts w:cs="FrankRuehl"/>
        <w:sz w:val="28"/>
        <w:szCs w:val="28"/>
      </w:rPr>
      <w:drawing>
        <wp:inline distT="0" distB="0" distL="0" distR="0" wp14:anchorId="10A00776" wp14:editId="664AE22D">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A15B3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341660">
          <w:pPr>
            <w:rPr>
              <w:b/>
              <w:bCs/>
              <w:noProof w:val="0"/>
              <w:sz w:val="26"/>
              <w:szCs w:val="26"/>
              <w:rtl/>
            </w:rPr>
          </w:pPr>
        </w:p>
      </w:tc>
      <w:sdt>
        <w:sdtPr>
          <w:rPr>
            <w:rtl/>
          </w:rPr>
          <w:alias w:val="1456"/>
          <w:tag w:val="1456"/>
          <w:id w:val="952063389"/>
          <w:text/>
        </w:sdtPr>
        <w:sdtEndPr/>
        <w:sdtContent>
          <w:tc>
            <w:tcPr>
              <w:tcW w:w="3674" w:type="dxa"/>
            </w:tcPr>
            <w:p w:rsidR="002914D6" w:rsidRDefault="00A15B33">
              <w:pPr>
                <w:pStyle w:val="a3"/>
                <w:jc w:val="right"/>
                <w:rPr>
                  <w:b/>
                  <w:bCs/>
                  <w:noProof w:val="0"/>
                  <w:sz w:val="26"/>
                  <w:szCs w:val="26"/>
                  <w:rtl/>
                </w:rPr>
              </w:pPr>
              <w:r>
                <w:rPr>
                  <w:b/>
                  <w:bCs/>
                  <w:noProof w:val="0"/>
                  <w:sz w:val="26"/>
                  <w:szCs w:val="26"/>
                  <w:rtl/>
                </w:rPr>
                <w:t>10 יוני 2024</w:t>
              </w:r>
            </w:p>
          </w:tc>
        </w:sdtContent>
      </w:sdt>
    </w:tr>
    <w:tr w:rsidR="002914D6">
      <w:trPr>
        <w:trHeight w:val="337"/>
        <w:jc w:val="center"/>
      </w:trPr>
      <w:tc>
        <w:tcPr>
          <w:tcW w:w="8721" w:type="dxa"/>
          <w:gridSpan w:val="2"/>
        </w:tcPr>
        <w:p w:rsidR="002914D6" w:rsidRDefault="00341660" w:rsidP="00A15B33">
          <w:pPr>
            <w:rPr>
              <w:b/>
              <w:bCs/>
              <w:noProof w:val="0"/>
              <w:sz w:val="26"/>
              <w:szCs w:val="26"/>
              <w:rtl/>
            </w:rPr>
          </w:pPr>
          <w:sdt>
            <w:sdtPr>
              <w:rPr>
                <w:rtl/>
              </w:rPr>
              <w:alias w:val="1170"/>
              <w:tag w:val="1170"/>
              <w:id w:val="-1240940633"/>
              <w:text w:multiLine="1"/>
            </w:sdtPr>
            <w:sdtEndPr/>
            <w:sdtContent>
              <w:r w:rsidR="00A15B33">
                <w:rPr>
                  <w:b/>
                  <w:bCs/>
                  <w:noProof w:val="0"/>
                  <w:sz w:val="26"/>
                  <w:szCs w:val="26"/>
                  <w:rtl/>
                </w:rPr>
                <w:t>תמ"ש</w:t>
              </w:r>
            </w:sdtContent>
          </w:sdt>
          <w:r w:rsidR="00A15B33">
            <w:rPr>
              <w:b/>
              <w:bCs/>
              <w:noProof w:val="0"/>
              <w:sz w:val="26"/>
              <w:szCs w:val="26"/>
              <w:rtl/>
            </w:rPr>
            <w:t xml:space="preserve"> </w:t>
          </w:r>
          <w:bookmarkStart w:id="0" w:name="_GoBack"/>
          <w:sdt>
            <w:sdtPr>
              <w:rPr>
                <w:rtl/>
              </w:rPr>
              <w:alias w:val="1171"/>
              <w:tag w:val="1171"/>
              <w:id w:val="-1122917173"/>
              <w:text w:multiLine="1"/>
            </w:sdtPr>
            <w:sdtEndPr/>
            <w:sdtContent>
              <w:r w:rsidR="00A15B33">
                <w:rPr>
                  <w:b/>
                  <w:bCs/>
                  <w:noProof w:val="0"/>
                  <w:sz w:val="26"/>
                  <w:szCs w:val="26"/>
                  <w:rtl/>
                </w:rPr>
                <w:t>42003-07-22</w:t>
              </w:r>
            </w:sdtContent>
          </w:sdt>
          <w:bookmarkEnd w:id="0"/>
          <w:r w:rsidR="00A15B33">
            <w:rPr>
              <w:b/>
              <w:bCs/>
              <w:noProof w:val="0"/>
              <w:sz w:val="26"/>
              <w:szCs w:val="26"/>
              <w:rtl/>
            </w:rPr>
            <w:t xml:space="preserve"> </w:t>
          </w:r>
          <w:sdt>
            <w:sdtPr>
              <w:rPr>
                <w:rtl/>
              </w:rPr>
              <w:alias w:val="1172"/>
              <w:tag w:val="1172"/>
              <w:id w:val="1658414112"/>
              <w:text w:multiLine="1"/>
            </w:sdtPr>
            <w:sdtEndPr/>
            <w:sdtContent>
              <w:r w:rsidR="00A15B33">
                <w:rPr>
                  <w:rFonts w:hint="cs"/>
                  <w:b/>
                  <w:bCs/>
                  <w:noProof w:val="0"/>
                  <w:sz w:val="26"/>
                  <w:szCs w:val="26"/>
                  <w:rtl/>
                </w:rPr>
                <w:t>פלונית</w:t>
              </w:r>
              <w:r w:rsidR="00A15B33">
                <w:rPr>
                  <w:b/>
                  <w:bCs/>
                  <w:noProof w:val="0"/>
                  <w:sz w:val="26"/>
                  <w:szCs w:val="26"/>
                  <w:rtl/>
                </w:rPr>
                <w:t xml:space="preserve"> נ' </w:t>
              </w:r>
              <w:r w:rsidR="00A15B33">
                <w:rPr>
                  <w:rFonts w:hint="cs"/>
                  <w:b/>
                  <w:bCs/>
                  <w:noProof w:val="0"/>
                  <w:sz w:val="26"/>
                  <w:szCs w:val="26"/>
                  <w:rtl/>
                </w:rPr>
                <w:t>פלוני</w:t>
              </w:r>
            </w:sdtContent>
          </w:sdt>
        </w:p>
        <w:p w:rsidR="002914D6" w:rsidRDefault="00341660">
          <w:pPr>
            <w:rPr>
              <w:rtl/>
            </w:rPr>
          </w:pPr>
        </w:p>
        <w:p w:rsidR="00FA6730" w:rsidRDefault="00341660">
          <w:pPr>
            <w:rPr>
              <w:rtl/>
            </w:rPr>
          </w:pPr>
        </w:p>
      </w:tc>
    </w:tr>
  </w:tbl>
  <w:p w:rsidR="002914D6" w:rsidRDefault="00A15B33">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C8E" w:rsidRDefault="00BA3C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1137CC"/>
    <w:multiLevelType w:val="hybridMultilevel"/>
    <w:tmpl w:val="265A9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33"/>
    <w:rsid w:val="000F0E2A"/>
    <w:rsid w:val="00341660"/>
    <w:rsid w:val="00A15B33"/>
    <w:rsid w:val="00AD5D6B"/>
    <w:rsid w:val="00BA3C8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8B934B-3640-445F-8519-B09F89B0B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B3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15B33"/>
    <w:pPr>
      <w:tabs>
        <w:tab w:val="center" w:pos="4153"/>
        <w:tab w:val="right" w:pos="8306"/>
      </w:tabs>
    </w:pPr>
  </w:style>
  <w:style w:type="character" w:customStyle="1" w:styleId="a4">
    <w:name w:val="כותרת עליונה תו"/>
    <w:basedOn w:val="a0"/>
    <w:link w:val="a3"/>
    <w:rsid w:val="00A15B33"/>
    <w:rPr>
      <w:rFonts w:ascii="Times New Roman" w:eastAsia="Times New Roman" w:hAnsi="Times New Roman" w:cs="David"/>
      <w:noProof/>
      <w:sz w:val="24"/>
      <w:szCs w:val="24"/>
    </w:rPr>
  </w:style>
  <w:style w:type="paragraph" w:styleId="a5">
    <w:name w:val="footer"/>
    <w:basedOn w:val="a"/>
    <w:link w:val="a6"/>
    <w:rsid w:val="00A15B33"/>
    <w:pPr>
      <w:tabs>
        <w:tab w:val="center" w:pos="4153"/>
        <w:tab w:val="right" w:pos="8306"/>
      </w:tabs>
    </w:pPr>
  </w:style>
  <w:style w:type="character" w:customStyle="1" w:styleId="a6">
    <w:name w:val="כותרת תחתונה תו"/>
    <w:basedOn w:val="a0"/>
    <w:link w:val="a5"/>
    <w:rsid w:val="00A15B33"/>
    <w:rPr>
      <w:rFonts w:ascii="Times New Roman" w:eastAsia="Times New Roman" w:hAnsi="Times New Roman" w:cs="David"/>
      <w:noProof/>
      <w:sz w:val="24"/>
      <w:szCs w:val="24"/>
    </w:rPr>
  </w:style>
  <w:style w:type="table" w:styleId="a7">
    <w:name w:val="Table Grid"/>
    <w:basedOn w:val="a1"/>
    <w:rsid w:val="00A15B3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15B33"/>
  </w:style>
  <w:style w:type="paragraph" w:styleId="a9">
    <w:name w:val="List Paragraph"/>
    <w:basedOn w:val="a"/>
    <w:uiPriority w:val="34"/>
    <w:qFormat/>
    <w:rsid w:val="00A15B33"/>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A15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87E57-C8B7-453B-BC72-F79866C69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4943</Characters>
  <Application>Microsoft Office Word</Application>
  <DocSecurity>0</DocSecurity>
  <Lines>41</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מרים לוי</dc:creator>
  <cp:keywords/>
  <dc:description/>
  <cp:lastModifiedBy>אסתר טטרואשילי</cp:lastModifiedBy>
  <cp:revision>2</cp:revision>
  <dcterms:created xsi:type="dcterms:W3CDTF">2024-07-18T08:20:00Z</dcterms:created>
  <dcterms:modified xsi:type="dcterms:W3CDTF">2024-07-18T08:20:00Z</dcterms:modified>
</cp:coreProperties>
</file>